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72"/>
          <w:szCs w:val="72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40"/>
          <w:szCs w:val="40"/>
        </w:rPr>
      </w:pPr>
      <w:r>
        <w:rPr>
          <w:rFonts w:hint="eastAsia" w:ascii="楷体" w:hAnsi="楷体" w:eastAsia="楷体" w:cs="楷体"/>
          <w:b/>
          <w:bCs/>
          <w:sz w:val="40"/>
          <w:szCs w:val="40"/>
        </w:rPr>
        <w:t>吉首大学法学与公共管理学院</w:t>
      </w: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长沙天心区拓曦育才教育扶贫基金</w:t>
      </w:r>
    </w:p>
    <w:p>
      <w:pPr>
        <w:jc w:val="center"/>
        <w:rPr>
          <w:rFonts w:hint="eastAsia" w:ascii="楷体" w:hAnsi="楷体" w:eastAsia="楷体" w:cs="楷体"/>
          <w:sz w:val="40"/>
          <w:szCs w:val="48"/>
          <w:lang w:eastAsia="zh-CN"/>
        </w:rPr>
      </w:pPr>
      <w:r>
        <w:rPr>
          <w:rFonts w:hint="eastAsia" w:ascii="楷体" w:hAnsi="楷体" w:eastAsia="楷体" w:cs="楷体"/>
          <w:sz w:val="40"/>
          <w:szCs w:val="48"/>
          <w:lang w:eastAsia="zh-CN"/>
        </w:rPr>
        <w:t>（试行）</w:t>
      </w: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56"/>
          <w:szCs w:val="56"/>
          <w:lang w:eastAsia="zh-CN"/>
        </w:rPr>
      </w:pPr>
      <w:r>
        <w:rPr>
          <w:rFonts w:hint="eastAsia" w:ascii="楷体" w:hAnsi="楷体" w:eastAsia="楷体" w:cs="楷体"/>
          <w:b/>
          <w:bCs/>
          <w:sz w:val="56"/>
          <w:szCs w:val="56"/>
          <w:lang w:eastAsia="zh-CN"/>
        </w:rPr>
        <w:t>实</w:t>
      </w:r>
    </w:p>
    <w:p>
      <w:pPr>
        <w:jc w:val="center"/>
        <w:rPr>
          <w:rFonts w:hint="eastAsia" w:ascii="楷体" w:hAnsi="楷体" w:eastAsia="楷体" w:cs="楷体"/>
          <w:b/>
          <w:bCs/>
          <w:sz w:val="56"/>
          <w:szCs w:val="56"/>
          <w:lang w:eastAsia="zh-CN"/>
        </w:rPr>
      </w:pPr>
      <w:r>
        <w:rPr>
          <w:rFonts w:hint="eastAsia" w:ascii="楷体" w:hAnsi="楷体" w:eastAsia="楷体" w:cs="楷体"/>
          <w:b/>
          <w:bCs/>
          <w:sz w:val="56"/>
          <w:szCs w:val="56"/>
          <w:lang w:eastAsia="zh-CN"/>
        </w:rPr>
        <w:t>施</w:t>
      </w:r>
    </w:p>
    <w:p>
      <w:pPr>
        <w:jc w:val="center"/>
        <w:rPr>
          <w:rFonts w:hint="eastAsia" w:ascii="楷体" w:hAnsi="楷体" w:eastAsia="楷体" w:cs="楷体"/>
          <w:b/>
          <w:bCs/>
          <w:sz w:val="56"/>
          <w:szCs w:val="56"/>
          <w:lang w:eastAsia="zh-CN"/>
        </w:rPr>
      </w:pPr>
      <w:r>
        <w:rPr>
          <w:rFonts w:hint="eastAsia" w:ascii="楷体" w:hAnsi="楷体" w:eastAsia="楷体" w:cs="楷体"/>
          <w:b/>
          <w:bCs/>
          <w:sz w:val="56"/>
          <w:szCs w:val="56"/>
          <w:lang w:eastAsia="zh-CN"/>
        </w:rPr>
        <w:t>细</w:t>
      </w:r>
    </w:p>
    <w:p>
      <w:pPr>
        <w:jc w:val="center"/>
        <w:rPr>
          <w:rFonts w:hint="eastAsia" w:ascii="楷体" w:hAnsi="楷体" w:eastAsia="楷体" w:cs="楷体"/>
          <w:b/>
          <w:bCs/>
          <w:sz w:val="56"/>
          <w:szCs w:val="56"/>
          <w:lang w:eastAsia="zh-CN"/>
        </w:rPr>
      </w:pPr>
      <w:r>
        <w:rPr>
          <w:rFonts w:hint="eastAsia" w:ascii="楷体" w:hAnsi="楷体" w:eastAsia="楷体" w:cs="楷体"/>
          <w:b/>
          <w:bCs/>
          <w:sz w:val="56"/>
          <w:szCs w:val="56"/>
          <w:lang w:eastAsia="zh-CN"/>
        </w:rPr>
        <w:t>则</w:t>
      </w:r>
    </w:p>
    <w:p>
      <w:pPr>
        <w:jc w:val="center"/>
        <w:rPr>
          <w:rFonts w:hint="eastAsia" w:ascii="楷体" w:hAnsi="楷体" w:eastAsia="楷体" w:cs="楷体"/>
          <w:b/>
          <w:bCs/>
          <w:sz w:val="56"/>
          <w:szCs w:val="56"/>
          <w:lang w:eastAsia="zh-CN"/>
        </w:rPr>
      </w:pPr>
    </w:p>
    <w:p>
      <w:pPr>
        <w:rPr>
          <w:rFonts w:ascii="楷体" w:hAnsi="楷体" w:eastAsia="楷体" w:cs="楷体"/>
          <w:sz w:val="40"/>
          <w:szCs w:val="48"/>
        </w:rPr>
      </w:pPr>
    </w:p>
    <w:p>
      <w:pPr>
        <w:rPr>
          <w:rFonts w:ascii="楷体" w:hAnsi="楷体" w:eastAsia="楷体" w:cs="楷体"/>
          <w:sz w:val="40"/>
          <w:szCs w:val="48"/>
        </w:rPr>
      </w:pPr>
    </w:p>
    <w:p>
      <w:pPr>
        <w:rPr>
          <w:rFonts w:ascii="楷体" w:hAnsi="楷体" w:eastAsia="楷体" w:cs="楷体"/>
          <w:sz w:val="40"/>
          <w:szCs w:val="48"/>
        </w:rPr>
      </w:pPr>
    </w:p>
    <w:p>
      <w:pPr>
        <w:rPr>
          <w:rFonts w:ascii="楷体" w:hAnsi="楷体" w:eastAsia="楷体" w:cs="楷体"/>
          <w:sz w:val="40"/>
          <w:szCs w:val="48"/>
        </w:rPr>
      </w:pPr>
    </w:p>
    <w:p>
      <w:pPr>
        <w:rPr>
          <w:rFonts w:ascii="楷体" w:hAnsi="楷体" w:eastAsia="楷体" w:cs="楷体"/>
          <w:sz w:val="40"/>
          <w:szCs w:val="48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201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年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6月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24"/>
          <w:szCs w:val="24"/>
          <w:lang w:eastAsia="zh-CN"/>
        </w:rPr>
        <w:t>一、总则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第一条 为帮助家境贫困的在校大学生解决学习、生活等方面困难，激励贫困学生勤奋好学，全面成才，结合实际，特制订本办法。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第二条“长沙天心区拓曦育才教育扶贫基金”由吉首大学2007级校友，长沙天心区委宣传部徐拓引资，为帮助吉首大学法学与公共管理学院家境贫困、品学兼优的在校大学解决困难，帮助大学生全面成长与成才的专项基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/>
          <w:color w:val="000000"/>
          <w:sz w:val="24"/>
          <w:szCs w:val="24"/>
          <w:lang w:eastAsia="zh-CN"/>
        </w:rPr>
        <w:t>评选</w:t>
      </w:r>
      <w:r>
        <w:rPr>
          <w:rFonts w:hint="eastAsia" w:ascii="楷体" w:hAnsi="楷体" w:eastAsia="楷体" w:cs="楷体"/>
          <w:b/>
          <w:color w:val="000000"/>
          <w:sz w:val="24"/>
          <w:szCs w:val="24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法学与公共管理学院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在校家庭经济困难本科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学生；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研究生（研究生仅限</w:t>
      </w:r>
      <w:r>
        <w:rPr>
          <w:rFonts w:hint="eastAsia" w:ascii="楷体" w:hAnsi="楷体" w:eastAsia="楷体" w:cs="楷体"/>
          <w:sz w:val="24"/>
          <w:szCs w:val="24"/>
        </w:rPr>
        <w:t>湘西自治州龙山县洛塔乡、浏阳市张坊镇富溪村、怀化市通道县生源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可申请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/>
          <w:color w:val="000000"/>
          <w:sz w:val="24"/>
          <w:szCs w:val="24"/>
        </w:rPr>
        <w:t>评选类别及奖励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（一）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榜样称号评选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评选活动旨在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贫困学生中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寻找在某些方面具有突出事迹或成就的身边榜样，起到全民学习、全民鼓励、全民争当榜样的引领作用。本次评选类别结合我院院训：厚德博学、求实创新。设立“厚德之星”、“博学之星”、“求实之星”、“创新之星”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四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个榜样称号。每年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每个类别择优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评选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1-2人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，给予荣誉证书和奖金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2500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元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/人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，没有符合要求则不评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二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）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困难补助申请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困难补助主要为就业困难、生活困难、大病医疗补助、勤工助学补助和其他特殊情况等方面困难的同学提出书面申请，评审小组核定实际情况后予以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500-1000元不等的资助，每生一年最多申请一次，根据需求申报，不限定具体时间。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/>
        <w:jc w:val="left"/>
        <w:textAlignment w:val="auto"/>
        <w:rPr>
          <w:rFonts w:hint="default" w:ascii="楷体" w:hAnsi="楷体" w:eastAsia="楷体" w:cs="楷体"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（一）基本条件：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1、热爱祖国，拥护党的领导，思想政治上积极要求进步，具有坚定正确的政治立场及科学的人生观、世界观和价值观。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家庭经济困难并进入吉首大学家庭经济困难学生信息库。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640" w:firstLineChars="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、遵纪守法，团结同学，尊敬师长，关爱集体。在同学中具有较大影响，无警告、处分等通告。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、学习刻苦，自强不息，必修课程无重修现象。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5、各项有多人参评按照积分排名评选。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楷体" w:hAnsi="楷体" w:eastAsia="楷体" w:cs="楷体"/>
          <w:sz w:val="24"/>
          <w:szCs w:val="24"/>
        </w:rPr>
        <w:t>湘西自治州龙山县洛塔乡、浏阳市张坊镇富溪村、怀化市通道县生源学生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按照《吉首大学“长沙天心区拓曦育才教育扶贫基金”使用管理办法》文件进行定向资助，可不满足基本条件第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项，但必须满足基本条件第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1、3项。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 xml:space="preserve">  （二）具体条件：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1、</w:t>
      </w:r>
      <w:r>
        <w:rPr>
          <w:rFonts w:hint="eastAsia" w:ascii="楷体" w:hAnsi="楷体" w:eastAsia="楷体" w:cs="楷体"/>
          <w:b/>
          <w:color w:val="000000"/>
          <w:sz w:val="24"/>
          <w:szCs w:val="24"/>
        </w:rPr>
        <w:t>厚德之星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具有具有中华民族艰苦奋斗的优良传统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良好的公德意识，强烈的责任意识、热情的公益意识。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对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身处逆境却有积极乐观的心态，对待生活、学习有坚忍不拔的意志和百折不挠的拼搏精神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者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，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表现出自立自强的品德，或在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助人为乐、见义勇为、献血奉献、诚实守信、孝老爱亲、文明礼仪推广等方面事迹突出。其先进事迹获得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学院、学校、州（市）级以上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传媒宣传报道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或荣誉称号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可优先评选。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）在促进民族团结进步方面有突出贡献者，或在少数民族学生中发挥先锋模范作用。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注：厚德之星申请需满足以上其中一个条件即可。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 xml:space="preserve">    2、</w:t>
      </w:r>
      <w:r>
        <w:rPr>
          <w:rFonts w:hint="eastAsia" w:ascii="楷体" w:hAnsi="楷体" w:eastAsia="楷体" w:cs="楷体"/>
          <w:b/>
          <w:color w:val="000000"/>
          <w:sz w:val="24"/>
          <w:szCs w:val="24"/>
        </w:rPr>
        <w:t>博学之星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：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勤奋好学，具有较强的科研精神，在学科专业领域有良好造诣，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且在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校期间获得过优秀学生奖学金，且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满足以下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条件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：主持省级及以上课题1项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且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以独著或第一作者身份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（指导老师除外）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在省级期刊发表论文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篇以上；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highlight w:val="none"/>
        </w:rPr>
        <w:t>独著或以主编身份出版专著 1 本及以上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3、</w:t>
      </w:r>
      <w:r>
        <w:rPr>
          <w:rFonts w:hint="eastAsia" w:ascii="楷体" w:hAnsi="楷体" w:eastAsia="楷体" w:cs="楷体"/>
          <w:b/>
          <w:color w:val="000000"/>
          <w:sz w:val="24"/>
          <w:szCs w:val="24"/>
        </w:rPr>
        <w:t>求实之星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：具有优秀的组织和管理能力，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积极参与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或组织过学校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学院的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各项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重大活动，具有较强的实践能力，在学生中有一定的影响力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成果突出。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highlight w:val="yellow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4、</w:t>
      </w:r>
      <w:r>
        <w:rPr>
          <w:rFonts w:hint="eastAsia" w:ascii="楷体" w:hAnsi="楷体" w:eastAsia="楷体" w:cs="楷体"/>
          <w:b/>
          <w:color w:val="000000"/>
          <w:sz w:val="24"/>
          <w:szCs w:val="24"/>
        </w:rPr>
        <w:t>创新</w:t>
      </w:r>
      <w:r>
        <w:rPr>
          <w:rFonts w:hint="eastAsia" w:ascii="楷体" w:hAnsi="楷体" w:eastAsia="楷体" w:cs="楷体"/>
          <w:b/>
          <w:color w:val="000000"/>
          <w:sz w:val="24"/>
          <w:szCs w:val="24"/>
          <w:lang w:eastAsia="zh-CN"/>
        </w:rPr>
        <w:t>创业</w:t>
      </w:r>
      <w:r>
        <w:rPr>
          <w:rFonts w:hint="eastAsia" w:ascii="楷体" w:hAnsi="楷体" w:eastAsia="楷体" w:cs="楷体"/>
          <w:b/>
          <w:color w:val="000000"/>
          <w:sz w:val="24"/>
          <w:szCs w:val="24"/>
        </w:rPr>
        <w:t>之星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：具有强烈的创新意识和创业能力，勇于投身创业实践，在青年学生中具有较强的代表性和示范带动作用，创新创业行为取得阶段性成绩，有一定的社会影响，以创业促就业，在创新性和市场潜力等方面实绩突出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，或组织团队参加“互联网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+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”创新创业大赛、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“挑战杯”课外学术科技作品竞赛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、“创青春”创业大赛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中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获得省级以上奖励。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计分办法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综合分数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由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基础分（家庭经济困难程度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+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思想品德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）与单项加分项两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个部分组成。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（一）基础分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基础分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=80分+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家庭经济困难程度计分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+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思想品德得分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1、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家庭经济困难程度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根据家庭经济困难学生信息库分类：特别困难、困难、一般困难三个等级，依次按10、8、6分计算（湘西自治州龙山县洛塔乡、浏阳市张坊镇富溪村、怀化市通道县生源学生按10分计算）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2、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思想品德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参照《吉首大学本专科学生综合素质测评办法》第二章思想品德加减分。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减分项：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1、旷课每人每学时扣2分（一节课为一学时）；单次请假不扣分，请假累计3次计旷课1次，扣2分；迟到、早退累计3次计旷课1次，扣2分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2、被学校通报“不文明寝室”一次，寝室成员扣2分，寝室长扣3分；被学院通报“不文明寝室”一次，寝室成员扣1分，寝室长扣2分（以每周公布的考勤为准）。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3、无故夜不归宿者，每人次扣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15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分；晚归1次，扣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分，累计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次计旷寝按夜不归宿处理（查寝后至23点以前归寝者）。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4、无故不参加学校、学院或班级组织的集会、讲座等集体活动，每人次扣2分；迟到或早退，每人次扣1分。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5、其他受学校通报批评一次减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分，受院通报批评一次减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分。通报批评包括以下情形：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878" w:firstLineChars="366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(1)、不讲诚信，无故不交清学费者。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878" w:firstLineChars="366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(2)、拒不执行上级指示、决定者。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878" w:firstLineChars="366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(3)、损害学校和法管学院的声誉者。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878" w:firstLineChars="366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(4)、违反《吉首大学学生手册》相关规定条例者。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6、有高消费行为、或不良贷款记录者扣10分。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eastAsia="zh-CN"/>
        </w:rPr>
        <w:t>注：受到学校警告处分以上者，取消参评资格。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三、单项加分项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eastAsia="zh-CN"/>
        </w:rPr>
        <w:t>第一条  厚德之星加分项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1、凡获国家级荣誉称号的加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2、凡获省级荣誉称号的加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3、凡获州、市级荣誉称号的加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4、凡获校级荣誉称号或表彰的加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5、凡获院级荣誉称号的加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6、凡在院校参与组织活动获表彰的、受院校通报表扬的加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7、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  <w:t>先进事迹在国家级、省级、州（市）级媒体报道依次按7、5、3分计。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 w:ascii="楷体" w:hAnsi="楷体" w:eastAsia="楷体" w:cs="楷体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若事迹突出，没有获评过荣誉称号或报道的，经审查属实可酌情加分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eastAsia="zh-CN"/>
        </w:rPr>
        <w:t>第二条  博学之星加分项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1、专业论文。以第一作者身份（指导老师除外）在核心期刊、国家级期刊、省级期刊上发表专业论文的每篇加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15、10、8分，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在学校等其他内部刊物发表论文的加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分。论文参加评选获得特等奖、一、二、三等奖、优胜奖，分别按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5、4、3、2、1分计。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课题。主持国家级、省部级、州（市）级、校级课题立项，分别加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20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15、10、8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分。研究会课题按所属级别降一级加分。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3、以独著形式出版著作、发明专利一项加15分。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eastAsia="zh-CN"/>
        </w:rPr>
        <w:t>第三条  求实之星加分项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学科竞赛活动获奖的加分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）凡参加国家级有关竞赛获奖者，一等奖加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15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分，依次递减2分，优胜奖加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）凡参加省级有关竞赛获奖者，一等奖加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分，依次递减2分，优胜奖加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）凡参加市、州级有关竞赛获奖者，一等奖加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分，依次递减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分，优胜奖加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）凡参加校级有关竞赛获奖者，一等奖加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分，依次递减1分，优胜奖加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）凡参加院级有关竞赛获奖者，一等奖加4分，依次递减1分，优胜奖加1分。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、凡在文娱、体育等其他非学科领域竞赛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）参加国家级竞赛获奖者，一等奖加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分，依次递减2分，优胜奖加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）凡参加省级有关竞赛获奖者，一等奖加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分，依次递减2分，优胜奖加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）凡参加市、州级有关竞赛获奖者，一等奖加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分，依次递减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分，优胜奖加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）凡参加校级有关竞赛获奖者，一等奖加6分，依次递减1分，优胜奖加4分。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）凡参加院级有关竞赛获奖者，一等奖加4分，依次递减1分，优胜奖加1分。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担任院（校）级主要学生干部（部长及以上职务）加15分，部长以下加6分，干事加3分；担任班长、团支书加6分，其他班委加3分。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组织参加社会实践项目评选，获得国家级、省级奖项的加25、15分，项目团队前三名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分别按100%、80%和60%的比例计算，排名第四以后的均按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30%计算）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同一活动项目只加一次分，就高不就低，职务只加一次，就高不就低。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同一活动项目只加一次分，就高不就低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4"/>
          <w:szCs w:val="24"/>
          <w:lang w:eastAsia="zh-CN"/>
        </w:rPr>
        <w:t>第四条 创新之星加分项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1、组队参加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“互联网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+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”创新创业大赛、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“挑战杯”课外学术科技作品竞赛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、“创青春”创新创业大赛获得国家一、二、三等奖分别加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20、17、15分，获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省级一二三等奖分别加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15、12、10分，获校级一二三等奖分别加10、9、8分，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（仅限前五名的成员，第一负责人按分值100%计算、其余队员按分值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0%比例计算）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2、创办公司企业注册资本100万以上加20分，注册资本50-100万加15分，注册资本20-50万加12分,注册资本20万以下加10分,未注册的创业团队加8分（以公司财务流水为依据），所有以团队形式创业的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（仅限前五名的成员，第一负责人按分值100%计算、其余队员按分值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0%比例计算）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同一项目获奖只加一次分，就高不就低。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right"/>
        <w:textAlignment w:val="auto"/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eastAsia="zh-CN"/>
        </w:rPr>
        <w:t>法学与公共管理学院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right"/>
        <w:textAlignment w:val="auto"/>
        <w:rPr>
          <w:rFonts w:hint="default" w:ascii="楷体" w:hAnsi="楷体" w:eastAsia="楷体" w:cs="楷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4"/>
          <w:lang w:val="en-US" w:eastAsia="zh-CN"/>
        </w:rPr>
        <w:t>2019年6月</w:t>
      </w:r>
    </w:p>
    <w:p>
      <w:pPr>
        <w:ind w:firstLine="560"/>
        <w:jc w:val="left"/>
        <w:rPr>
          <w:rFonts w:hint="eastAsia" w:ascii="楷体" w:hAnsi="楷体" w:eastAsia="楷体" w:cs="楷体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楷体"/>
          <w:sz w:val="24"/>
          <w:szCs w:val="24"/>
          <w:shd w:val="clear" w:color="auto" w:fill="FFFFFF"/>
        </w:rPr>
        <w:br w:type="page"/>
      </w:r>
    </w:p>
    <w:p>
      <w:pPr>
        <w:jc w:val="left"/>
        <w:rPr>
          <w:rFonts w:ascii="方正兰亭超细黑简体" w:hAnsi="方正兰亭超细黑简体" w:eastAsia="方正兰亭超细黑简体" w:cs="方正兰亭超细黑简体"/>
          <w:b/>
          <w:bCs/>
          <w:sz w:val="22"/>
          <w:szCs w:val="22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附件1：</w:t>
      </w:r>
    </w:p>
    <w:p>
      <w:pPr>
        <w:jc w:val="center"/>
        <w:rPr>
          <w:rFonts w:ascii="方正兰亭超细黑简体" w:hAnsi="方正兰亭超细黑简体" w:eastAsia="方正兰亭超细黑简体" w:cs="方正兰亭超细黑简体"/>
          <w:b/>
          <w:bCs/>
          <w:sz w:val="24"/>
        </w:rPr>
      </w:pPr>
      <w:r>
        <w:rPr>
          <w:rFonts w:hint="eastAsia" w:ascii="方正兰亭超细黑简体" w:hAnsi="方正兰亭超细黑简体" w:eastAsia="方正兰亭超细黑简体" w:cs="方正兰亭超细黑简体"/>
          <w:b/>
          <w:bCs/>
          <w:sz w:val="24"/>
        </w:rPr>
        <w:t>吉首大学法学与公共管理学院“身边榜样，前行力量”报名表</w:t>
      </w:r>
    </w:p>
    <w:tbl>
      <w:tblPr>
        <w:tblStyle w:val="4"/>
        <w:tblpPr w:leftFromText="180" w:rightFromText="180" w:vertAnchor="text" w:horzAnchor="page" w:tblpX="1608" w:tblpY="288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899"/>
        <w:gridCol w:w="1755"/>
        <w:gridCol w:w="2023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专业、班级</w:t>
            </w:r>
          </w:p>
        </w:tc>
        <w:tc>
          <w:tcPr>
            <w:tcW w:w="20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年级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（本科/研究生）</w:t>
            </w:r>
          </w:p>
        </w:tc>
        <w:tc>
          <w:tcPr>
            <w:tcW w:w="20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90" w:firstLineChars="245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手机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申请称号</w:t>
            </w:r>
          </w:p>
        </w:tc>
        <w:tc>
          <w:tcPr>
            <w:tcW w:w="7536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申请理由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00字以内）</w:t>
            </w:r>
          </w:p>
        </w:tc>
        <w:tc>
          <w:tcPr>
            <w:tcW w:w="7536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事迹材料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1500</w:t>
            </w:r>
            <w:r>
              <w:rPr>
                <w:rFonts w:hint="eastAsia"/>
                <w:b/>
                <w:bCs/>
                <w:szCs w:val="21"/>
              </w:rPr>
              <w:t>字，可附页）</w:t>
            </w:r>
          </w:p>
        </w:tc>
        <w:tc>
          <w:tcPr>
            <w:tcW w:w="7536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团总支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意见</w:t>
            </w:r>
          </w:p>
        </w:tc>
        <w:tc>
          <w:tcPr>
            <w:tcW w:w="7536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党委意见</w:t>
            </w:r>
          </w:p>
        </w:tc>
        <w:tc>
          <w:tcPr>
            <w:tcW w:w="7536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（此表填写时请注意格式统一）</w:t>
      </w:r>
    </w:p>
    <w:p>
      <w:pPr>
        <w:jc w:val="left"/>
        <w:rPr>
          <w:rFonts w:hint="eastAsia" w:ascii="楷体" w:hAnsi="楷体" w:eastAsia="楷体" w:cs="楷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bCs/>
          <w:color w:val="000000"/>
          <w:sz w:val="28"/>
          <w:szCs w:val="28"/>
          <w:lang w:val="en-US" w:eastAsia="zh-CN"/>
        </w:rPr>
        <w:t>2：</w:t>
      </w:r>
    </w:p>
    <w:p>
      <w:pPr>
        <w:spacing w:line="44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学生临时（特殊）困难补助申请表</w:t>
      </w:r>
    </w:p>
    <w:tbl>
      <w:tblPr>
        <w:tblStyle w:val="4"/>
        <w:tblW w:w="9764" w:type="dxa"/>
        <w:jc w:val="center"/>
        <w:tblInd w:w="-2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51"/>
        <w:gridCol w:w="720"/>
        <w:gridCol w:w="713"/>
        <w:gridCol w:w="581"/>
        <w:gridCol w:w="871"/>
        <w:gridCol w:w="1260"/>
        <w:gridCol w:w="7"/>
        <w:gridCol w:w="1349"/>
        <w:gridCol w:w="1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家庭人口数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家庭总收入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收入来源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贷款、受助及奖励情况</w:t>
            </w:r>
          </w:p>
        </w:tc>
        <w:tc>
          <w:tcPr>
            <w:tcW w:w="8302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困难类别</w:t>
            </w:r>
          </w:p>
        </w:tc>
        <w:tc>
          <w:tcPr>
            <w:tcW w:w="8302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t>□就业困难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t>生活困难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t>□大病医疗补助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t>□勤工助学补助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t>□其他特殊情况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由</w:t>
            </w:r>
          </w:p>
        </w:tc>
        <w:tc>
          <w:tcPr>
            <w:tcW w:w="8302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辅导员意见</w:t>
            </w:r>
          </w:p>
        </w:tc>
        <w:tc>
          <w:tcPr>
            <w:tcW w:w="8302" w:type="dxa"/>
            <w:gridSpan w:val="9"/>
            <w:noWrap w:val="0"/>
            <w:vAlign w:val="bottom"/>
          </w:tcPr>
          <w:p>
            <w:pPr>
              <w:spacing w:line="440" w:lineRule="exact"/>
              <w:ind w:firstLine="720" w:firstLineChars="30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学工办意见</w:t>
            </w:r>
          </w:p>
        </w:tc>
        <w:tc>
          <w:tcPr>
            <w:tcW w:w="8302" w:type="dxa"/>
            <w:gridSpan w:val="9"/>
            <w:noWrap w:val="0"/>
            <w:vAlign w:val="bottom"/>
          </w:tcPr>
          <w:p>
            <w:pPr>
              <w:spacing w:line="440" w:lineRule="exact"/>
              <w:ind w:firstLine="720" w:firstLineChars="30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盖章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党委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302" w:type="dxa"/>
            <w:gridSpan w:val="9"/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               单位公章                  年     月    日</w:t>
            </w:r>
          </w:p>
        </w:tc>
      </w:tr>
    </w:tbl>
    <w:p>
      <w:pPr>
        <w:ind w:left="2205" w:leftChars="-300" w:hanging="2835" w:hangingChars="1350"/>
        <w:rPr>
          <w:rFonts w:hint="eastAsia"/>
        </w:rPr>
      </w:pPr>
      <w:r>
        <w:rPr>
          <w:rFonts w:hint="eastAsia"/>
        </w:rPr>
        <w:t>注：用</w:t>
      </w:r>
      <w:r>
        <w:t>A4</w:t>
      </w:r>
      <w:r>
        <w:rPr>
          <w:rFonts w:hint="eastAsia"/>
        </w:rPr>
        <w:t>纸打印，此表格一式二份（一份</w:t>
      </w:r>
      <w:r>
        <w:rPr>
          <w:rFonts w:hint="eastAsia"/>
          <w:lang w:eastAsia="zh-CN"/>
        </w:rPr>
        <w:t>学院</w:t>
      </w:r>
      <w:r>
        <w:rPr>
          <w:rFonts w:hint="eastAsia"/>
        </w:rPr>
        <w:t>留存，一份交财务处领款）。</w:t>
      </w:r>
    </w:p>
    <w:p>
      <w:pPr>
        <w:jc w:val="left"/>
        <w:rPr>
          <w:rFonts w:hint="default" w:ascii="楷体" w:hAnsi="楷体" w:eastAsia="楷体" w:cs="楷体"/>
          <w:bCs/>
          <w:color w:val="000000"/>
          <w:sz w:val="28"/>
          <w:szCs w:val="28"/>
          <w:lang w:val="en-US" w:eastAsia="zh-CN"/>
        </w:rPr>
      </w:pPr>
    </w:p>
    <w:p>
      <w:pPr>
        <w:jc w:val="left"/>
        <w:rPr>
          <w:rFonts w:hint="eastAsia" w:ascii="楷体" w:hAnsi="楷体" w:eastAsia="楷体" w:cs="楷体"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2C59BB"/>
    <w:multiLevelType w:val="singleLevel"/>
    <w:tmpl w:val="CF2C59BB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332D1373"/>
    <w:multiLevelType w:val="singleLevel"/>
    <w:tmpl w:val="332D137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B11AC"/>
    <w:rsid w:val="00142BF3"/>
    <w:rsid w:val="002F2F20"/>
    <w:rsid w:val="006E7D67"/>
    <w:rsid w:val="00783F27"/>
    <w:rsid w:val="00C83371"/>
    <w:rsid w:val="00CB11AC"/>
    <w:rsid w:val="00F0254E"/>
    <w:rsid w:val="07426472"/>
    <w:rsid w:val="089C1652"/>
    <w:rsid w:val="10BE3371"/>
    <w:rsid w:val="15D108FA"/>
    <w:rsid w:val="1BFC2585"/>
    <w:rsid w:val="208A57A8"/>
    <w:rsid w:val="25F17557"/>
    <w:rsid w:val="2C94674D"/>
    <w:rsid w:val="307B0E25"/>
    <w:rsid w:val="35CA5C18"/>
    <w:rsid w:val="400A7331"/>
    <w:rsid w:val="434358B9"/>
    <w:rsid w:val="4B907D14"/>
    <w:rsid w:val="4DF34B6B"/>
    <w:rsid w:val="50B32E96"/>
    <w:rsid w:val="53571F26"/>
    <w:rsid w:val="57FC069B"/>
    <w:rsid w:val="63E22AC9"/>
    <w:rsid w:val="67696BAD"/>
    <w:rsid w:val="695D515D"/>
    <w:rsid w:val="77FE50E4"/>
    <w:rsid w:val="789B34C5"/>
    <w:rsid w:val="7934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_59b34049-55d4-45eb-838f-3304db016880"/>
    <w:basedOn w:val="1"/>
    <w:qFormat/>
    <w:uiPriority w:val="99"/>
    <w:pPr>
      <w:ind w:firstLine="420" w:firstLineChars="200"/>
    </w:p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FB1DD8-8774-4755-B45D-B832CBCD94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447</Words>
  <Characters>2551</Characters>
  <Lines>21</Lines>
  <Paragraphs>5</Paragraphs>
  <TotalTime>13</TotalTime>
  <ScaleCrop>false</ScaleCrop>
  <LinksUpToDate>false</LinksUpToDate>
  <CharactersWithSpaces>2993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2016-10-15T05:35:00Z</dcterms:created>
  <dc:creator>S41B</dc:creator>
  <cp:lastModifiedBy>○丶倩寳灬</cp:lastModifiedBy>
  <cp:lastPrinted>2019-06-10T03:49:00Z</cp:lastPrinted>
  <dcterms:modified xsi:type="dcterms:W3CDTF">2019-06-11T01:20:25Z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